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E6E02" w14:textId="37B8E055" w:rsidR="00D44637" w:rsidRDefault="00D44637" w:rsidP="00D44637">
      <w:pPr>
        <w:jc w:val="right"/>
      </w:pPr>
      <w:r>
        <w:rPr>
          <w:noProof/>
        </w:rPr>
        <w:drawing>
          <wp:inline distT="0" distB="0" distL="0" distR="0" wp14:anchorId="4A82E87B" wp14:editId="7FBB90FD">
            <wp:extent cx="1026321" cy="914400"/>
            <wp:effectExtent l="0" t="0" r="2540" b="0"/>
            <wp:docPr id="1"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42046" cy="928411"/>
                    </a:xfrm>
                    <a:prstGeom prst="rect">
                      <a:avLst/>
                    </a:prstGeom>
                  </pic:spPr>
                </pic:pic>
              </a:graphicData>
            </a:graphic>
          </wp:inline>
        </w:drawing>
      </w:r>
    </w:p>
    <w:p w14:paraId="57C2F8A0" w14:textId="6C540C40" w:rsidR="00D44637" w:rsidRPr="00D44637" w:rsidRDefault="00D44637" w:rsidP="00D44637">
      <w:pPr>
        <w:jc w:val="right"/>
      </w:pPr>
    </w:p>
    <w:p w14:paraId="6DC8E8E4" w14:textId="1162848D" w:rsidR="00D44637" w:rsidRDefault="00D44637" w:rsidP="00D44637">
      <w:pPr>
        <w:jc w:val="center"/>
        <w:rPr>
          <w:b/>
          <w:bCs/>
          <w:u w:val="single"/>
        </w:rPr>
      </w:pPr>
      <w:r w:rsidRPr="00D44637">
        <w:rPr>
          <w:b/>
          <w:bCs/>
          <w:u w:val="single"/>
        </w:rPr>
        <w:t xml:space="preserve">Weekly PPG Update </w:t>
      </w:r>
      <w:r w:rsidR="007D0E34">
        <w:rPr>
          <w:b/>
          <w:bCs/>
          <w:u w:val="single"/>
        </w:rPr>
        <w:t>12.02.26</w:t>
      </w:r>
    </w:p>
    <w:p w14:paraId="252964D2" w14:textId="77777777" w:rsidR="008076AD" w:rsidRDefault="008076AD">
      <w:pPr>
        <w:rPr>
          <w:b/>
          <w:bCs/>
          <w:u w:val="single"/>
        </w:rPr>
      </w:pPr>
    </w:p>
    <w:p w14:paraId="3ED76EAD" w14:textId="77777777" w:rsidR="007D0E34" w:rsidRPr="007D0E34" w:rsidRDefault="007D0E34" w:rsidP="007D0E34">
      <w:pPr>
        <w:numPr>
          <w:ilvl w:val="0"/>
          <w:numId w:val="16"/>
        </w:numPr>
        <w:rPr>
          <w:b/>
          <w:bCs/>
          <w:u w:val="single"/>
        </w:rPr>
      </w:pPr>
      <w:r w:rsidRPr="007D0E34">
        <w:rPr>
          <w:b/>
          <w:bCs/>
          <w:u w:val="single"/>
        </w:rPr>
        <w:t>Supporting Eating and Drinking Well with Dementia at Home event – 2 March 2026</w:t>
      </w:r>
    </w:p>
    <w:p w14:paraId="69BDB44B" w14:textId="77777777" w:rsidR="007D0E34" w:rsidRPr="007D0E34" w:rsidRDefault="007D0E34" w:rsidP="007D0E34"/>
    <w:p w14:paraId="2DBA8C18" w14:textId="77777777" w:rsidR="007D0E34" w:rsidRPr="007D0E34" w:rsidRDefault="007D0E34" w:rsidP="007D0E34">
      <w:r w:rsidRPr="007D0E34">
        <w:t>As part of the NIHR-funded TOMATO Project (</w:t>
      </w:r>
      <w:proofErr w:type="spellStart"/>
      <w:r w:rsidRPr="007D0E34">
        <w:t>nu</w:t>
      </w:r>
      <w:r w:rsidRPr="007D0E34">
        <w:rPr>
          <w:b/>
          <w:bCs/>
        </w:rPr>
        <w:t>T</w:t>
      </w:r>
      <w:r w:rsidRPr="007D0E34">
        <w:t>riti</w:t>
      </w:r>
      <w:r w:rsidRPr="007D0E34">
        <w:rPr>
          <w:b/>
          <w:bCs/>
        </w:rPr>
        <w:t>O</w:t>
      </w:r>
      <w:r w:rsidRPr="007D0E34">
        <w:t>n</w:t>
      </w:r>
      <w:proofErr w:type="spellEnd"/>
      <w:r w:rsidRPr="007D0E34">
        <w:t xml:space="preserve"> and </w:t>
      </w:r>
      <w:proofErr w:type="spellStart"/>
      <w:r w:rsidRPr="007D0E34">
        <w:t>de</w:t>
      </w:r>
      <w:r w:rsidRPr="007D0E34">
        <w:rPr>
          <w:b/>
          <w:bCs/>
        </w:rPr>
        <w:t>M</w:t>
      </w:r>
      <w:r w:rsidRPr="007D0E34">
        <w:t>entia</w:t>
      </w:r>
      <w:proofErr w:type="spellEnd"/>
      <w:r w:rsidRPr="007D0E34">
        <w:t xml:space="preserve"> </w:t>
      </w:r>
      <w:r w:rsidRPr="007D0E34">
        <w:rPr>
          <w:b/>
          <w:bCs/>
        </w:rPr>
        <w:t xml:space="preserve">AT </w:t>
      </w:r>
      <w:proofErr w:type="spellStart"/>
      <w:r w:rsidRPr="007D0E34">
        <w:t>h</w:t>
      </w:r>
      <w:r w:rsidRPr="007D0E34">
        <w:rPr>
          <w:b/>
          <w:bCs/>
        </w:rPr>
        <w:t>O</w:t>
      </w:r>
      <w:r w:rsidRPr="007D0E34">
        <w:t>me</w:t>
      </w:r>
      <w:proofErr w:type="spellEnd"/>
      <w:r w:rsidRPr="007D0E34">
        <w:t xml:space="preserve">), researchers at Bournemouth University, in partnership with the Homecare Association, Leeds Beckett University, the Universities of Leeds and Exeter, and Leeds Community Healthcare NHS Trust, recently launched </w:t>
      </w:r>
      <w:r w:rsidRPr="007D0E34">
        <w:rPr>
          <w:b/>
          <w:bCs/>
          <w:i/>
          <w:iCs/>
        </w:rPr>
        <w:t>The Eating and Drinking Well with Dementia at Home Guides</w:t>
      </w:r>
      <w:r w:rsidRPr="007D0E34">
        <w:t>.</w:t>
      </w:r>
    </w:p>
    <w:p w14:paraId="689D4F4E" w14:textId="77777777" w:rsidR="007D0E34" w:rsidRPr="007D0E34" w:rsidRDefault="007D0E34" w:rsidP="007D0E34">
      <w:r w:rsidRPr="007D0E34">
        <w:t>Guides were co-adapted through collaboration with a wide range of stakeholders, including people living with dementia, family carers and friends, and home care professionals, to support care at home.</w:t>
      </w:r>
    </w:p>
    <w:p w14:paraId="75F85453" w14:textId="77777777" w:rsidR="007D0E34" w:rsidRPr="007D0E34" w:rsidRDefault="007D0E34" w:rsidP="007D0E34">
      <w:r w:rsidRPr="007D0E34">
        <w:t xml:space="preserve">These resources are available in print (handy guides) and as a downloadable PDF and contain evidence-based information and emphasise the importance of good nutrition, hydration, and enjoyable mealtimes. They provide family, friends, and professional </w:t>
      </w:r>
      <w:proofErr w:type="spellStart"/>
      <w:r w:rsidRPr="007D0E34">
        <w:t>carers</w:t>
      </w:r>
      <w:proofErr w:type="spellEnd"/>
      <w:r w:rsidRPr="007D0E34">
        <w:t xml:space="preserve"> with practical ‘Tips’ and ‘How-To’ ideas to try, tailored to the person’s nutritional needs. </w:t>
      </w:r>
    </w:p>
    <w:p w14:paraId="52C7F10F" w14:textId="77777777" w:rsidR="007D0E34" w:rsidRPr="007D0E34" w:rsidRDefault="007D0E34" w:rsidP="007D0E34">
      <w:r w:rsidRPr="007D0E34">
        <w:t xml:space="preserve">Please visit: </w:t>
      </w:r>
      <w:hyperlink r:id="rId6" w:tooltip="Original URL: https://gck.fm/qopgx. Click or tap if you trust this link." w:history="1">
        <w:r w:rsidRPr="007D0E34">
          <w:rPr>
            <w:rStyle w:val="Hyperlink"/>
          </w:rPr>
          <w:t>https://gck.fm/qopgx</w:t>
        </w:r>
      </w:hyperlink>
      <w:r w:rsidRPr="007D0E34">
        <w:t xml:space="preserve">  for more information and to access the resource link. Physical copies will also be available at our next </w:t>
      </w:r>
      <w:r w:rsidRPr="007D0E34">
        <w:rPr>
          <w:b/>
          <w:bCs/>
        </w:rPr>
        <w:t>Creative in-person event</w:t>
      </w:r>
      <w:r w:rsidRPr="007D0E34">
        <w:t xml:space="preserve">: </w:t>
      </w:r>
      <w:r w:rsidRPr="007D0E34">
        <w:rPr>
          <w:b/>
          <w:bCs/>
        </w:rPr>
        <w:t xml:space="preserve">Art in Dementia Care: Supporting Eating and Drinking Well with Dementia at Home </w:t>
      </w:r>
      <w:r w:rsidRPr="007D0E34">
        <w:t>which</w:t>
      </w:r>
      <w:r w:rsidRPr="007D0E34">
        <w:rPr>
          <w:b/>
          <w:bCs/>
        </w:rPr>
        <w:t> </w:t>
      </w:r>
      <w:r w:rsidRPr="007D0E34">
        <w:t xml:space="preserve">will be held on 2 March 2026. The event is now live on Eventbrite - to register go to: </w:t>
      </w:r>
      <w:hyperlink r:id="rId7" w:tooltip="https://www.eventbrite.co.uk/e/art-in-dementia-care-supporting-eating-and-drinking-well-at-home-tickets-1980630158120?aff=oddtdtcreator" w:history="1">
        <w:r w:rsidRPr="007D0E34">
          <w:rPr>
            <w:rStyle w:val="Hyperlink"/>
          </w:rPr>
          <w:t>https://www.eventbrite.co.uk/e/art-in-dementia-care-supporting-eating-and-drinking-well-at-home-tickets-1980630158120?aff=oddtdtcreator</w:t>
        </w:r>
      </w:hyperlink>
      <w:r w:rsidRPr="007D0E34">
        <w:t xml:space="preserve"> or contact: </w:t>
      </w:r>
      <w:hyperlink r:id="rId8" w:tooltip="mailto:mogunro@bournemouth.ac.uk" w:history="1">
        <w:r w:rsidRPr="007D0E34">
          <w:rPr>
            <w:rStyle w:val="Hyperlink"/>
          </w:rPr>
          <w:t>mogunro@bournemouth.ac.uk</w:t>
        </w:r>
      </w:hyperlink>
      <w:r w:rsidRPr="007D0E34">
        <w:t> to receive more details. </w:t>
      </w:r>
    </w:p>
    <w:p w14:paraId="5B779E7F" w14:textId="77777777" w:rsidR="007D0E34" w:rsidRPr="007D0E34" w:rsidRDefault="007D0E34" w:rsidP="007D0E34"/>
    <w:p w14:paraId="17084402" w14:textId="77777777" w:rsidR="007D0E34" w:rsidRPr="007D0E34" w:rsidRDefault="007D0E34" w:rsidP="007D0E34">
      <w:pPr>
        <w:numPr>
          <w:ilvl w:val="0"/>
          <w:numId w:val="16"/>
        </w:numPr>
        <w:rPr>
          <w:b/>
          <w:bCs/>
          <w:u w:val="single"/>
        </w:rPr>
      </w:pPr>
      <w:r w:rsidRPr="007D0E34">
        <w:rPr>
          <w:b/>
          <w:bCs/>
          <w:u w:val="single"/>
        </w:rPr>
        <w:t>The Friendly Food Club</w:t>
      </w:r>
    </w:p>
    <w:p w14:paraId="3325BA59" w14:textId="77777777" w:rsidR="007D0E34" w:rsidRPr="007D0E34" w:rsidRDefault="007D0E34" w:rsidP="007D0E34"/>
    <w:p w14:paraId="496AB5F5" w14:textId="77777777" w:rsidR="007D0E34" w:rsidRPr="007D0E34" w:rsidRDefault="007D0E34" w:rsidP="007D0E34">
      <w:r w:rsidRPr="007D0E34">
        <w:t xml:space="preserve">The latest edition of the Friendly Food Club newsletter can be found here: </w:t>
      </w:r>
      <w:hyperlink r:id="rId9" w:history="1">
        <w:r w:rsidRPr="007D0E34">
          <w:rPr>
            <w:rStyle w:val="Hyperlink"/>
          </w:rPr>
          <w:t>The Friendly Food Club Newsletter</w:t>
        </w:r>
      </w:hyperlink>
    </w:p>
    <w:p w14:paraId="1DD358BD" w14:textId="77777777" w:rsidR="007D0E34" w:rsidRPr="007D0E34" w:rsidRDefault="007D0E34" w:rsidP="007D0E34"/>
    <w:p w14:paraId="5000113E" w14:textId="77777777" w:rsidR="007D0E34" w:rsidRPr="007D0E34" w:rsidRDefault="007D0E34" w:rsidP="007D0E34">
      <w:r w:rsidRPr="007D0E34">
        <w:t xml:space="preserve">This edition is packed full of information about training, volunteer opportunities, and cooking groups and sessions across the county. </w:t>
      </w:r>
    </w:p>
    <w:p w14:paraId="2DA25569" w14:textId="77777777" w:rsidR="007D0E34" w:rsidRPr="007D0E34" w:rsidRDefault="007D0E34" w:rsidP="007D0E34"/>
    <w:p w14:paraId="47B36779" w14:textId="77777777" w:rsidR="007D0E34" w:rsidRPr="007D0E34" w:rsidRDefault="007D0E34" w:rsidP="007D0E34"/>
    <w:p w14:paraId="48956DFD" w14:textId="77777777" w:rsidR="007D0E34" w:rsidRPr="007D0E34" w:rsidRDefault="007D0E34" w:rsidP="007D0E34">
      <w:pPr>
        <w:numPr>
          <w:ilvl w:val="0"/>
          <w:numId w:val="16"/>
        </w:numPr>
        <w:rPr>
          <w:b/>
          <w:bCs/>
          <w:u w:val="single"/>
        </w:rPr>
      </w:pPr>
      <w:r w:rsidRPr="007D0E34">
        <w:rPr>
          <w:b/>
          <w:bCs/>
          <w:u w:val="single"/>
        </w:rPr>
        <w:t>The King’s Fund – Tackling Health Inequalities</w:t>
      </w:r>
    </w:p>
    <w:p w14:paraId="27A9655E" w14:textId="77777777" w:rsidR="007D0E34" w:rsidRPr="007D0E34" w:rsidRDefault="007D0E34" w:rsidP="007D0E34"/>
    <w:p w14:paraId="28A2948D" w14:textId="77777777" w:rsidR="007D0E34" w:rsidRPr="007D0E34" w:rsidRDefault="007D0E34" w:rsidP="007D0E34">
      <w:r w:rsidRPr="007D0E34">
        <w:t>The King’s Fund tell us that health inequalities in the UK are growing and wider than in many comparable countries. They are running an event where practical strategies from policy innovations to community-led interventions will be discussed that show promise in narrowing gaps in health and wellbeing.</w:t>
      </w:r>
    </w:p>
    <w:p w14:paraId="0029B10E" w14:textId="77777777" w:rsidR="007D0E34" w:rsidRPr="007D0E34" w:rsidRDefault="007D0E34" w:rsidP="007D0E34"/>
    <w:p w14:paraId="5A7A12AB" w14:textId="77777777" w:rsidR="007D0E34" w:rsidRPr="007D0E34" w:rsidRDefault="007D0E34" w:rsidP="007D0E34">
      <w:r w:rsidRPr="007D0E34">
        <w:t xml:space="preserve">For more information please click the following link:  </w:t>
      </w:r>
      <w:hyperlink r:id="rId10" w:anchor="programme" w:history="1">
        <w:r w:rsidRPr="007D0E34">
          <w:rPr>
            <w:rStyle w:val="Hyperlink"/>
          </w:rPr>
          <w:t>Tackling Health Inequalities event | The King’s Fund | The King's Fund</w:t>
        </w:r>
      </w:hyperlink>
    </w:p>
    <w:p w14:paraId="7555629F" w14:textId="77777777" w:rsidR="00A20842" w:rsidRDefault="00A20842"/>
    <w:sectPr w:rsidR="00A208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213B"/>
    <w:multiLevelType w:val="hybridMultilevel"/>
    <w:tmpl w:val="0ACA3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C24848"/>
    <w:multiLevelType w:val="hybridMultilevel"/>
    <w:tmpl w:val="306CF4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51D24D6"/>
    <w:multiLevelType w:val="hybridMultilevel"/>
    <w:tmpl w:val="A106DD9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154A73BE"/>
    <w:multiLevelType w:val="hybridMultilevel"/>
    <w:tmpl w:val="762CD4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D8A5D2D"/>
    <w:multiLevelType w:val="hybridMultilevel"/>
    <w:tmpl w:val="230A8D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5596EA6"/>
    <w:multiLevelType w:val="hybridMultilevel"/>
    <w:tmpl w:val="57B2BF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29293C6C"/>
    <w:multiLevelType w:val="hybridMultilevel"/>
    <w:tmpl w:val="574C5A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D3F48D7"/>
    <w:multiLevelType w:val="hybridMultilevel"/>
    <w:tmpl w:val="9B5C88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4A36507"/>
    <w:multiLevelType w:val="hybridMultilevel"/>
    <w:tmpl w:val="0B20238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49D9514A"/>
    <w:multiLevelType w:val="hybridMultilevel"/>
    <w:tmpl w:val="256885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4EA967CC"/>
    <w:multiLevelType w:val="multilevel"/>
    <w:tmpl w:val="AD400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7C139A"/>
    <w:multiLevelType w:val="hybridMultilevel"/>
    <w:tmpl w:val="6A8C1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68B56D5"/>
    <w:multiLevelType w:val="hybridMultilevel"/>
    <w:tmpl w:val="C5BE7D5C"/>
    <w:lvl w:ilvl="0" w:tplc="5D9EFAE4">
      <w:numFmt w:val="bullet"/>
      <w:lvlText w:val="-"/>
      <w:lvlJc w:val="left"/>
      <w:pPr>
        <w:ind w:left="720" w:hanging="360"/>
      </w:pPr>
      <w:rPr>
        <w:rFonts w:ascii="Montserrat" w:eastAsia="Aptos" w:hAnsi="Montserra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3BE4F38"/>
    <w:multiLevelType w:val="hybridMultilevel"/>
    <w:tmpl w:val="B3D8E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C3A3123"/>
    <w:multiLevelType w:val="hybridMultilevel"/>
    <w:tmpl w:val="DF463E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7FD14373"/>
    <w:multiLevelType w:val="hybridMultilevel"/>
    <w:tmpl w:val="B3346DE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16cid:durableId="7104994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6028152">
    <w:abstractNumId w:val="11"/>
  </w:num>
  <w:num w:numId="3" w16cid:durableId="17300330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1270389">
    <w:abstractNumId w:val="5"/>
  </w:num>
  <w:num w:numId="5" w16cid:durableId="62946084">
    <w:abstractNumId w:val="2"/>
  </w:num>
  <w:num w:numId="6" w16cid:durableId="1181435725">
    <w:abstractNumId w:val="8"/>
  </w:num>
  <w:num w:numId="7" w16cid:durableId="1317800474">
    <w:abstractNumId w:val="13"/>
  </w:num>
  <w:num w:numId="8" w16cid:durableId="17217845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8528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26941597">
    <w:abstractNumId w:val="15"/>
  </w:num>
  <w:num w:numId="11" w16cid:durableId="920145320">
    <w:abstractNumId w:val="0"/>
  </w:num>
  <w:num w:numId="12" w16cid:durableId="13595445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32847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3838426">
    <w:abstractNumId w:val="12"/>
  </w:num>
  <w:num w:numId="15" w16cid:durableId="735931019">
    <w:abstractNumId w:val="10"/>
  </w:num>
  <w:num w:numId="16" w16cid:durableId="2304283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637"/>
    <w:rsid w:val="0012546F"/>
    <w:rsid w:val="00315723"/>
    <w:rsid w:val="00340CE3"/>
    <w:rsid w:val="003D145C"/>
    <w:rsid w:val="00496846"/>
    <w:rsid w:val="005D57D3"/>
    <w:rsid w:val="006C241A"/>
    <w:rsid w:val="007051DF"/>
    <w:rsid w:val="007601ED"/>
    <w:rsid w:val="007D0E34"/>
    <w:rsid w:val="008076AD"/>
    <w:rsid w:val="008842DB"/>
    <w:rsid w:val="0093684C"/>
    <w:rsid w:val="00A20842"/>
    <w:rsid w:val="00A30479"/>
    <w:rsid w:val="00B81BF4"/>
    <w:rsid w:val="00C47C15"/>
    <w:rsid w:val="00D44637"/>
    <w:rsid w:val="00E069E5"/>
    <w:rsid w:val="00EB6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04EA"/>
  <w15:chartTrackingRefBased/>
  <w15:docId w15:val="{67A9C104-5E8C-4408-A222-4C6573AB8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6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6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6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6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6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6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6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6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6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6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6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6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6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6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6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6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6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637"/>
    <w:rPr>
      <w:rFonts w:eastAsiaTheme="majorEastAsia" w:cstheme="majorBidi"/>
      <w:color w:val="272727" w:themeColor="text1" w:themeTint="D8"/>
    </w:rPr>
  </w:style>
  <w:style w:type="paragraph" w:styleId="Title">
    <w:name w:val="Title"/>
    <w:basedOn w:val="Normal"/>
    <w:next w:val="Normal"/>
    <w:link w:val="TitleChar"/>
    <w:uiPriority w:val="10"/>
    <w:qFormat/>
    <w:rsid w:val="00D446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46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463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46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6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4637"/>
    <w:rPr>
      <w:i/>
      <w:iCs/>
      <w:color w:val="404040" w:themeColor="text1" w:themeTint="BF"/>
    </w:rPr>
  </w:style>
  <w:style w:type="paragraph" w:styleId="ListParagraph">
    <w:name w:val="List Paragraph"/>
    <w:basedOn w:val="Normal"/>
    <w:uiPriority w:val="34"/>
    <w:qFormat/>
    <w:rsid w:val="00D44637"/>
    <w:pPr>
      <w:ind w:left="720"/>
      <w:contextualSpacing/>
    </w:pPr>
  </w:style>
  <w:style w:type="character" w:styleId="IntenseEmphasis">
    <w:name w:val="Intense Emphasis"/>
    <w:basedOn w:val="DefaultParagraphFont"/>
    <w:uiPriority w:val="21"/>
    <w:qFormat/>
    <w:rsid w:val="00D44637"/>
    <w:rPr>
      <w:i/>
      <w:iCs/>
      <w:color w:val="0F4761" w:themeColor="accent1" w:themeShade="BF"/>
    </w:rPr>
  </w:style>
  <w:style w:type="paragraph" w:styleId="IntenseQuote">
    <w:name w:val="Intense Quote"/>
    <w:basedOn w:val="Normal"/>
    <w:next w:val="Normal"/>
    <w:link w:val="IntenseQuoteChar"/>
    <w:uiPriority w:val="30"/>
    <w:qFormat/>
    <w:rsid w:val="00D446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637"/>
    <w:rPr>
      <w:i/>
      <w:iCs/>
      <w:color w:val="0F4761" w:themeColor="accent1" w:themeShade="BF"/>
    </w:rPr>
  </w:style>
  <w:style w:type="character" w:styleId="IntenseReference">
    <w:name w:val="Intense Reference"/>
    <w:basedOn w:val="DefaultParagraphFont"/>
    <w:uiPriority w:val="32"/>
    <w:qFormat/>
    <w:rsid w:val="00D44637"/>
    <w:rPr>
      <w:b/>
      <w:bCs/>
      <w:smallCaps/>
      <w:color w:val="0F4761" w:themeColor="accent1" w:themeShade="BF"/>
      <w:spacing w:val="5"/>
    </w:rPr>
  </w:style>
  <w:style w:type="character" w:styleId="Hyperlink">
    <w:name w:val="Hyperlink"/>
    <w:basedOn w:val="DefaultParagraphFont"/>
    <w:uiPriority w:val="99"/>
    <w:unhideWhenUsed/>
    <w:rsid w:val="00D44637"/>
    <w:rPr>
      <w:color w:val="467886" w:themeColor="hyperlink"/>
      <w:u w:val="single"/>
    </w:rPr>
  </w:style>
  <w:style w:type="character" w:styleId="UnresolvedMention">
    <w:name w:val="Unresolved Mention"/>
    <w:basedOn w:val="DefaultParagraphFont"/>
    <w:uiPriority w:val="99"/>
    <w:semiHidden/>
    <w:unhideWhenUsed/>
    <w:rsid w:val="00D44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61964">
      <w:bodyDiv w:val="1"/>
      <w:marLeft w:val="0"/>
      <w:marRight w:val="0"/>
      <w:marTop w:val="0"/>
      <w:marBottom w:val="0"/>
      <w:divBdr>
        <w:top w:val="none" w:sz="0" w:space="0" w:color="auto"/>
        <w:left w:val="none" w:sz="0" w:space="0" w:color="auto"/>
        <w:bottom w:val="none" w:sz="0" w:space="0" w:color="auto"/>
        <w:right w:val="none" w:sz="0" w:space="0" w:color="auto"/>
      </w:divBdr>
    </w:div>
    <w:div w:id="266811123">
      <w:bodyDiv w:val="1"/>
      <w:marLeft w:val="0"/>
      <w:marRight w:val="0"/>
      <w:marTop w:val="0"/>
      <w:marBottom w:val="0"/>
      <w:divBdr>
        <w:top w:val="none" w:sz="0" w:space="0" w:color="auto"/>
        <w:left w:val="none" w:sz="0" w:space="0" w:color="auto"/>
        <w:bottom w:val="none" w:sz="0" w:space="0" w:color="auto"/>
        <w:right w:val="none" w:sz="0" w:space="0" w:color="auto"/>
      </w:divBdr>
    </w:div>
    <w:div w:id="448624818">
      <w:bodyDiv w:val="1"/>
      <w:marLeft w:val="0"/>
      <w:marRight w:val="0"/>
      <w:marTop w:val="0"/>
      <w:marBottom w:val="0"/>
      <w:divBdr>
        <w:top w:val="none" w:sz="0" w:space="0" w:color="auto"/>
        <w:left w:val="none" w:sz="0" w:space="0" w:color="auto"/>
        <w:bottom w:val="none" w:sz="0" w:space="0" w:color="auto"/>
        <w:right w:val="none" w:sz="0" w:space="0" w:color="auto"/>
      </w:divBdr>
    </w:div>
    <w:div w:id="757405962">
      <w:bodyDiv w:val="1"/>
      <w:marLeft w:val="0"/>
      <w:marRight w:val="0"/>
      <w:marTop w:val="0"/>
      <w:marBottom w:val="0"/>
      <w:divBdr>
        <w:top w:val="none" w:sz="0" w:space="0" w:color="auto"/>
        <w:left w:val="none" w:sz="0" w:space="0" w:color="auto"/>
        <w:bottom w:val="none" w:sz="0" w:space="0" w:color="auto"/>
        <w:right w:val="none" w:sz="0" w:space="0" w:color="auto"/>
      </w:divBdr>
    </w:div>
    <w:div w:id="806703095">
      <w:bodyDiv w:val="1"/>
      <w:marLeft w:val="0"/>
      <w:marRight w:val="0"/>
      <w:marTop w:val="0"/>
      <w:marBottom w:val="0"/>
      <w:divBdr>
        <w:top w:val="none" w:sz="0" w:space="0" w:color="auto"/>
        <w:left w:val="none" w:sz="0" w:space="0" w:color="auto"/>
        <w:bottom w:val="none" w:sz="0" w:space="0" w:color="auto"/>
        <w:right w:val="none" w:sz="0" w:space="0" w:color="auto"/>
      </w:divBdr>
    </w:div>
    <w:div w:id="1042945976">
      <w:bodyDiv w:val="1"/>
      <w:marLeft w:val="0"/>
      <w:marRight w:val="0"/>
      <w:marTop w:val="0"/>
      <w:marBottom w:val="0"/>
      <w:divBdr>
        <w:top w:val="none" w:sz="0" w:space="0" w:color="auto"/>
        <w:left w:val="none" w:sz="0" w:space="0" w:color="auto"/>
        <w:bottom w:val="none" w:sz="0" w:space="0" w:color="auto"/>
        <w:right w:val="none" w:sz="0" w:space="0" w:color="auto"/>
      </w:divBdr>
    </w:div>
    <w:div w:id="1219896067">
      <w:bodyDiv w:val="1"/>
      <w:marLeft w:val="0"/>
      <w:marRight w:val="0"/>
      <w:marTop w:val="0"/>
      <w:marBottom w:val="0"/>
      <w:divBdr>
        <w:top w:val="none" w:sz="0" w:space="0" w:color="auto"/>
        <w:left w:val="none" w:sz="0" w:space="0" w:color="auto"/>
        <w:bottom w:val="none" w:sz="0" w:space="0" w:color="auto"/>
        <w:right w:val="none" w:sz="0" w:space="0" w:color="auto"/>
      </w:divBdr>
    </w:div>
    <w:div w:id="1666978620">
      <w:bodyDiv w:val="1"/>
      <w:marLeft w:val="0"/>
      <w:marRight w:val="0"/>
      <w:marTop w:val="0"/>
      <w:marBottom w:val="0"/>
      <w:divBdr>
        <w:top w:val="none" w:sz="0" w:space="0" w:color="auto"/>
        <w:left w:val="none" w:sz="0" w:space="0" w:color="auto"/>
        <w:bottom w:val="none" w:sz="0" w:space="0" w:color="auto"/>
        <w:right w:val="none" w:sz="0" w:space="0" w:color="auto"/>
      </w:divBdr>
    </w:div>
    <w:div w:id="1798833866">
      <w:bodyDiv w:val="1"/>
      <w:marLeft w:val="0"/>
      <w:marRight w:val="0"/>
      <w:marTop w:val="0"/>
      <w:marBottom w:val="0"/>
      <w:divBdr>
        <w:top w:val="none" w:sz="0" w:space="0" w:color="auto"/>
        <w:left w:val="none" w:sz="0" w:space="0" w:color="auto"/>
        <w:bottom w:val="none" w:sz="0" w:space="0" w:color="auto"/>
        <w:right w:val="none" w:sz="0" w:space="0" w:color="auto"/>
      </w:divBdr>
    </w:div>
    <w:div w:id="1858618054">
      <w:bodyDiv w:val="1"/>
      <w:marLeft w:val="0"/>
      <w:marRight w:val="0"/>
      <w:marTop w:val="0"/>
      <w:marBottom w:val="0"/>
      <w:divBdr>
        <w:top w:val="none" w:sz="0" w:space="0" w:color="auto"/>
        <w:left w:val="none" w:sz="0" w:space="0" w:color="auto"/>
        <w:bottom w:val="none" w:sz="0" w:space="0" w:color="auto"/>
        <w:right w:val="none" w:sz="0" w:space="0" w:color="auto"/>
      </w:divBdr>
    </w:div>
    <w:div w:id="2027781151">
      <w:bodyDiv w:val="1"/>
      <w:marLeft w:val="0"/>
      <w:marRight w:val="0"/>
      <w:marTop w:val="0"/>
      <w:marBottom w:val="0"/>
      <w:divBdr>
        <w:top w:val="none" w:sz="0" w:space="0" w:color="auto"/>
        <w:left w:val="none" w:sz="0" w:space="0" w:color="auto"/>
        <w:bottom w:val="none" w:sz="0" w:space="0" w:color="auto"/>
        <w:right w:val="none" w:sz="0" w:space="0" w:color="auto"/>
      </w:divBdr>
    </w:div>
    <w:div w:id="209277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gunro@bournemouth.ac.uk" TargetMode="External"/><Relationship Id="rId3" Type="http://schemas.openxmlformats.org/officeDocument/2006/relationships/settings" Target="settings.xml"/><Relationship Id="rId7" Type="http://schemas.openxmlformats.org/officeDocument/2006/relationships/hyperlink" Target="https://www.eventbrite.co.uk/e/art-in-dementia-care-supporting-eating-and-drinking-well-at-home-tickets-1980630158120?aff=oddtdtcreato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ck.fm/qopgx"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kingsfund.org.uk/events/tackling-health-inequalities-people-places-possibilities?utm_source=The%20King%27s%20Fund%20newsletters%20%28main%20account%29&amp;utm_medium=email&amp;utm_campaign=15355711_NEWSL_WeeklyUpdate_090226&amp;utm_content=health_inequalities_button&amp;dm_i=21A8,954JJ,DCNQ6J,12AP6T,1,0,0,0" TargetMode="External"/><Relationship Id="rId4" Type="http://schemas.openxmlformats.org/officeDocument/2006/relationships/webSettings" Target="webSettings.xml"/><Relationship Id="rId9" Type="http://schemas.openxmlformats.org/officeDocument/2006/relationships/hyperlink" Target="https://mailchi.mp/thefriendlyfoodclub/the-friendly-food-club-newsletterfebruary2026?e=c4e3c3e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Mooney (Canford Heath Group Practice)</dc:creator>
  <cp:keywords/>
  <dc:description/>
  <cp:lastModifiedBy>Rosie Mooney (Canford Heath Group Practice)</cp:lastModifiedBy>
  <cp:revision>2</cp:revision>
  <dcterms:created xsi:type="dcterms:W3CDTF">2026-02-13T10:39:00Z</dcterms:created>
  <dcterms:modified xsi:type="dcterms:W3CDTF">2026-02-13T10:39:00Z</dcterms:modified>
</cp:coreProperties>
</file>